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editor,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would like to submit our manuscript “Left-Wing Ideology, Mental Health, and Visual Presentation,” for consideration in the Journal of Open Inquiry in the Behavioral Sciences. The present study investigates the relationship between left-wing political ideology, mental health, and visual presentation (e.g., tattoos, piercings, and unnatural hair color) using a large online representative sample of American adults (N = 978).</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Our findings align with prior research, by demonstrating that left-wing ideology correlates with poorer mental health across multiple measures, including psychiatric diagnoses, self-reported symptoms, and life satisfaction. Here, we reported that mental health diagnoses—particularly anxiety and ADHD—emerged as the strongest predictors of left-wing ideology, even after controlling for demographics. Additionally, we replicated associations between leftism, psychopathology, and visual presentation (by using various body modifications such as tattoos, piercing, unnatural hair color), contributing to the limited literature on political orientation and visual presentation.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key points of our study can be summarized as follows: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We confirm and extend prior findings on mental health and political ideology using robust measures.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We assess measurement invariance to rule out scale bias as an explanation for the observed relationships.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We explore the understudied link between body modifications, political orientation, and psychopathology.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thank you for your time and consideration. We look forward to your feedback.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Sincerely,</w:t>
      </w:r>
    </w:p>
    <w:p w:rsidR="00000000" w:rsidDel="00000000" w:rsidP="00000000" w:rsidRDefault="00000000" w:rsidRPr="00000000" w14:paraId="00000010">
      <w:pPr>
        <w:rPr/>
      </w:pPr>
      <w:r w:rsidDel="00000000" w:rsidR="00000000" w:rsidRPr="00000000">
        <w:rPr>
          <w:rtl w:val="0"/>
        </w:rPr>
        <w:t xml:space="preserve">Meng Hu</w:t>
      </w:r>
    </w:p>
    <w:p w:rsidR="00000000" w:rsidDel="00000000" w:rsidP="00000000" w:rsidRDefault="00000000" w:rsidRPr="00000000" w14:paraId="00000011">
      <w:pPr>
        <w:rPr/>
      </w:pPr>
      <w:r w:rsidDel="00000000" w:rsidR="00000000" w:rsidRPr="00000000">
        <w:rPr>
          <w:rtl w:val="0"/>
        </w:rPr>
        <w:t xml:space="preserve">The University of Hong Kong</w:t>
      </w:r>
    </w:p>
    <w:p w:rsidR="00000000" w:rsidDel="00000000" w:rsidP="00000000" w:rsidRDefault="00000000" w:rsidRPr="00000000" w14:paraId="00000012">
      <w:pPr>
        <w:rPr/>
      </w:pPr>
      <w:r w:rsidDel="00000000" w:rsidR="00000000" w:rsidRPr="00000000">
        <w:rPr>
          <w:rtl w:val="0"/>
        </w:rPr>
        <w:t xml:space="preserve">mh19870410@gmail.com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Emil O.W. Kirkegaard</w:t>
      </w:r>
    </w:p>
    <w:p w:rsidR="00000000" w:rsidDel="00000000" w:rsidP="00000000" w:rsidRDefault="00000000" w:rsidRPr="00000000" w14:paraId="00000015">
      <w:pPr>
        <w:rPr/>
      </w:pPr>
      <w:r w:rsidDel="00000000" w:rsidR="00000000" w:rsidRPr="00000000">
        <w:rPr>
          <w:rtl w:val="0"/>
        </w:rPr>
        <w:t xml:space="preserve">Ulster Institute</w:t>
      </w:r>
    </w:p>
    <w:p w:rsidR="00000000" w:rsidDel="00000000" w:rsidP="00000000" w:rsidRDefault="00000000" w:rsidRPr="00000000" w14:paraId="00000016">
      <w:pPr>
        <w:rPr/>
      </w:pPr>
      <w:r w:rsidDel="00000000" w:rsidR="00000000" w:rsidRPr="00000000">
        <w:rPr>
          <w:rtl w:val="0"/>
        </w:rPr>
        <w:t xml:space="preserve">the.dfx@gmail.com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